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ERP Procurement Integration Setup Checklist</w:t>
      </w:r>
    </w:p>
    <w:p>
      <w:r>
        <w:t>This checklist outlines the steps required to configure Freshservice to integrate with an ERP system for procurement workflows.</w:t>
      </w:r>
    </w:p>
    <w:p>
      <w:r>
        <w:t>- Confirm required fields: PO Number, Vendor Name, Asset Description</w:t>
      </w:r>
    </w:p>
    <w:p>
      <w:r>
        <w:t>- Set up authentication (API token or OAuth)</w:t>
      </w:r>
    </w:p>
    <w:p>
      <w:r>
        <w:t>- Configure Web Request Node:</w:t>
      </w:r>
    </w:p>
    <w:p>
      <w:r>
        <w:t xml:space="preserve">   • Endpoint URL</w:t>
      </w:r>
    </w:p>
    <w:p>
      <w:r>
        <w:t xml:space="preserve">   • HTTP Method (POST)</w:t>
      </w:r>
    </w:p>
    <w:p>
      <w:r>
        <w:t xml:space="preserve">   • Headers (Authorization, Content-Type)</w:t>
      </w:r>
    </w:p>
    <w:p>
      <w:r>
        <w:t xml:space="preserve">   • Request body with Liquid variables</w:t>
      </w:r>
    </w:p>
    <w:p>
      <w:r>
        <w:t>- Validate payloads using JSON tools</w:t>
      </w:r>
    </w:p>
    <w:p>
      <w:r>
        <w:t>- Test workflow for different scenarios</w:t>
      </w:r>
    </w:p>
    <w:p>
      <w:r>
        <w:t>- Apply asset tagging logic (e.g., tag with PO Number)</w:t>
      </w:r>
    </w:p>
    <w:p>
      <w:r>
        <w:t>- Review field mapping and sync frequency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Georgia" w:hAnsi="Georgia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